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A35C13">
      <w:pPr>
        <w:rPr>
          <w:rFonts w:hint="cs"/>
          <w:rtl/>
        </w:rPr>
      </w:pPr>
    </w:p>
    <w:p w:rsidR="00A35C13" w:rsidRDefault="00A35C13">
      <w:pPr>
        <w:rPr>
          <w:rFonts w:hint="cs"/>
          <w:rtl/>
        </w:rPr>
      </w:pPr>
    </w:p>
    <w:p w:rsidR="00A35C13" w:rsidRPr="00A35C13" w:rsidRDefault="00A35C13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فكر الخوارج في ميزان أهل السنة (1) 1-2</w:t>
      </w:r>
    </w:p>
    <w:p w:rsidR="00A35C13" w:rsidRDefault="00A35C13">
      <w:pPr>
        <w:rPr>
          <w:rFonts w:hint="cs"/>
          <w:rtl/>
        </w:rPr>
      </w:pP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الحمد لله ، والصلاة والسلام على رسول الله ، وعلى آلة وصحبه أجمعين... أما بعد: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فإن البعض من شباب المسلمين المتحمس لهذا الدين قد ابتلوا في هذه الآونة بفكر الخوارج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ومن المؤسف أن الكثير من هؤلاء الشباب هم من أهل السنة أصلا، ولكن حماستهم وغيرتهم على الإسلام ، وما يفعله أعداء الإسلام بالمسلمين في شتى بقاع الأرض من مشرقها إلى مغربها ، وجهلهم بالنصوص الشرعية ؛ حيث إنهم لم يتربوا على أيدي العلماء ، كل ذلك جعلهم يتبنون هذه الأفكار الخارجة عن مذهب أهل السنة والجماعة.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وأكثر هؤلاء الشباب ممن فيهم عاطفة دينية بلا علم ولا فقه ولا بصيرة ولا تجربه ولا اعتبار عندهم لأهل العلم والفقه والتجربة والبصيرة.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ولا شك أن أغلب هؤلاء الشباب لا يعرفون أنهم قد وقعوا في فكر الخوارج ؛ لجهلهم بهذا الفكر ، وإذا قلت له : إن هذا الفكر فكر الخوارج استنكر ذلك ، وأخذ يدافع ظنا منه أنه مذهب أهل السنة والجماعة.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لذلك أردت من خلال هذه الأسطر بيان فكر الخوارج في ميزان أهل السنة ، وأسباب انحراف الخوارج ونزعاتهم في العصر الحديث.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Cs w:val="32"/>
          <w:u w:val="single"/>
          <w:rtl/>
        </w:rPr>
        <w:t>تعريف الخوارج ونشأتهم: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عرف أهل العلم الخوارج بتعريفات منها على سبيل الذكر لا الحصر ما بينه أبو الحسن الأشعري ، أن اسم الخوارج يقع على تلك الطائفة التي خرجت على رابع الخلفاء الراشدين علي بن أبي طالب – رضي الله عنه - ، وبين أن خروجهم على علي هو العلة في تسميتهم بهذا الاسم ، حيث قال – رحمه الله - : والسبب الذي سموا له خوارج خروجهم على علي لما حكم . (مقالات الإسلاميين واختلاف المصلين ، لأبي الحسن الأشعري 1 / 207 )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فالخوارج هم أولئك النفر الذين خرجوا على علي – رضي الله عنه – بعد قبوله التحكيم في موقعة صفين ، ولهم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القاب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أخرى عرفوا بها غير لقب 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lastRenderedPageBreak/>
        <w:t xml:space="preserve">الخوارج ، ومن تلك الألقاب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الحرورية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،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والشراة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، والمارقة ، والمحكمة ، وهم يرضون بهذه الألقاب كلها إلا بالمارقة ، فإنهم ينكرون أن يكونوا مارقين من الدين كما يمرق السهم من الرمية. ( مقالات الإسلاميين 1/207 )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ومن أهل العلم من يرجع بداية نشأة الخوارج إلى زمن الرسول – صلى الله عليه وسلم - ، ويجعل أول الخوارج ذا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الخويصرة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الذي اعترض على الرسول – صلى الله عليه وسلم – في قسمة ذهب كان قد بعث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علي – رضي الله عنه – من اليمن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وبالرغم من الارتباط القوي بين ذي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الخويصرة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والغوغاء الذين خرجوا على عثمان – رضي الله عنه – وبين الخوارج الذين خرجوا على علي – رضي الله عنه – بسبب التحكيم ، فإن مصطلح الخوارج بالمعنى الدقيق لهذه الكلمة لا ينطبق إلا على الخارجين بسبب التحكيم ، بحكم كونهم جماعة في شكل طائفة لها اتجاهها السياسي وآراؤها الخاصة ، أحدثت أثرا فكريا عقديا واضحا ، يعكس ما سبقها من حالات. (فرق معاصرة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للعواجي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1 / 67).  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Cs w:val="32"/>
          <w:u w:val="single"/>
          <w:rtl/>
        </w:rPr>
        <w:t>ذم الخوارج والتحذير منهم: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وردت أحاديث كثيرة في ذمِّ الخوارج والتحذير منهم، فمن الأحاديث التي وردت الإشارة فيها إلى ذمهم ، ما ثبت عن النبي – صلى الله عليه وسلم – من حديث أبي سعيد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الخدري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– رضي الله عنه – قال : بينما نحن عند رسول الله –صلى الله عليه وسلم – وهو يقسم قسماً ، إذ أتاه ذو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الخويصرة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وهو رجل من تميم ، فقال : يا رسول الله ، اعدل، فقال : " ويلك ، ومن يعدل إذا لم أعدل، قد خِبت وخسرت إن لم أكن أعدل" ، فقال عمر – رضي الله عنه - : يا رسول الله ائذن لي فيه فأضرب عنقه، فقال : " دعه فإن له أصحابا يحقر أحدكم صلاته مع صلاتهم ، وصيامه مع صيامهم ، يقرؤون القرآن لا يجاوز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تراقيهم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، يمرقون من الدين كما يمرق السهم من الرمية ينظر إلى نصله فلا يوجد فيه شيء ، ثم ينظر إلى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رصافه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، فما يوجد فيه شيء ، ثم ينظر إلى نفسه ، وهو قدحه فلا يوجد فيه شيء ، وقد سبق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الفرث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والدم، آيتهم رجل أسود إحدى عضديه مثل ثدي المرأة ، أو مثل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البضعة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تدردر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  ويخرجون على حين فرقة من الناس"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قال أبو سعيد : فأشهد أني سمعتُ هذا الحديث من رسول الله – صلى الله عليه وسلم - ، وأشهد أن علي بن أبي طالب قاتلهم وأنا معه ، فأمَر بذلك 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lastRenderedPageBreak/>
        <w:t xml:space="preserve">الرجل فالتُمس فأُتي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حتى نظرت إليه على نعت النبي – صلى الله عليه وسلم – الذي نعته.  أخرجه البخاري في صحيحه (3342) ، ومسلم ( 1762)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ومن صفاتهم الذميمة التي ذمهم بها الرسول – صلى الله عليه وسلم - : أنهم ليس لهم من الإيمان إلا مجرد النطق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، وأنهم عقولهم رديئة وضعيفة ، وأنهم عندما يقرؤون القرآن يظنون لشدة ما بلغوا إليه من سوء الفهم أنه لهم وهو عليهم، فقد أخرج البخاري في صحيحه من حديث علي بن أبي طالب – رضي الله عنه – أنه قال : إذا حدثتكم عن رسول الله – صلى الله عليه وسلم – حديثا ، فو الله لأن أَخِرُّ من السماء أحبّ إليَّ من أن أكذب عليه ، وإذا حدثتكم فيما بيني وبينكم فإنَّ الحرب خدعة ، وإني سمعت رسول الله – صلى الله عليه وسلم – يقول : " سيخرج قوم في آخر الزمان أحداثُ الأسنان ، سفهاء الأحلام ، يقولون من خير قول البرية ، لا يجاوز إيمانهم حناجرهم ، يمرقون من الدين كما يمرق السهم من الرمية ، فأينما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لقيتموهم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فاقتلوهم ، فإن في قتلهم أجرا لمن قتلهم يوم القيامة " أخرجه البخاري في صحيحه (6418) ، ومسلم (1771)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ومن الصفات القبيحة التي ذمهم بها رسول الله – صلى الله عليه وسلم – ما ثبت عنه – صلى الله عليه وسلم – من حديث أبي ذر – رضي الله عنه – قال : قال رسول الله – صلى الله عليه وسلم - : " إن بعدي من أمتي ، أو سيكون بعدي من أمتي قوم يقرءون القرآن لا يجاوز حلا قيمهم  ، يخرجون من الدين كما يخرج السهم من الرمية ، ثم لا يعودون فيه ، هم شر الخلق والخليقة " أخرجه مسلم في صحيحه (1775)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ومن الصفات المذمومة التي وقعت منهم ما أخبر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النبي – صلى الله عليه وسلم – من حديث أبي سعيد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الخدري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– رضي الله عنه – قال : بعث علي وهو باليمن إلى النبي - صلى الله عليه وسلم -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بذهيبة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في تربتها فقسمها بين الأقرع بن حابس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الحنظلي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ثم أحد بني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مجاشع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وبين عيينة بن بدر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الفزاري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وبين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علقمة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بن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علاثة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العامري ثم أحد بني كلاب وبين زيد الخيل الطائي ثم أحد بني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نبهان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،  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فتغيظت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قريش والأنصار فقالوا:  يعطيه صناديد أهل نجد ويدعنا قال إنما أتألفهم ، فأقبل رجل غائر العينين ، ناتئ الجبين ، كث اللحية ، مشرف الوجنتين ، محلوق الرأس ، فقال : يا محمد اتق الله ، فقال النبي - صلى الله عليه وسلم - :  " فمن يطيع الله إذا عصيته ،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فيأمنني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على أهل الأرض ولا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lastRenderedPageBreak/>
        <w:t>تأمنوني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،  فسأل رجل من القوم قتله أراه خالد بن الوليد ، فمنعه النبي - صلى الله عليه وسلم - فلما ولى قال - النبي صلى الله عليه وسلم - : "  إن من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ضئضئ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هذا قوما يقرءون القرآن لا يجاوز حناجرهم ، يمرقون من الإسلام مروق السهم من الرمية  ، يقتلون أهل الإسلام ويدعون أهل الأوثان ،  لئن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أدركتهم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لأقتلنهم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 قتل عاد " أخرجه البخاري في صحيحه (6995) ، ومسلم في صحيحه (2499).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وقد بوب السلف في مصنفاتهم بالتحذير من الخوارج من ذلك على سبيل الذكر لا الحصر: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بوب البخاري في صحيحه : باب قتل الخوارج والملحدين بعد إقامة الحجة عليهم ، وقول الله تعالى : " وما كان الله ليضل قوما بعد إذ هداهم حتى يبين لهم ما يتقون إن الله بكل شيء عليم " التوبة : 115.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والإمام النووي – رحمه الله – في تبويبه لصحيح مسلم قال : باب الخوارج شر الخلق والخليقة.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وبوب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اللالكائي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– رحمه الله – في " شرح أصول الاعتقاد ": باب ذم الخوارج وسوء مذاهبهم ، وإباحة قتالهم ، وثواب من قتلهم أو قتلوه.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وقال أيضا : باب سياق ما روى عن النبي – صلى الله عليه وسلم – في الخوارج،  وساق – رحمه الله – جملة أحاديث في ذلك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وبوب أبو داود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السجستاني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في سننه: باب في قتال الخوارج.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وبوب ابن حبان – رحمه الله – في صحيحه : باب ذِكر البيان من أن الخوارج من أبغض خلق الله جل وعلا إليه.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Cs w:val="32"/>
          <w:u w:val="single"/>
          <w:rtl/>
        </w:rPr>
        <w:t>صفات الخوارج: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284" w:firstLine="357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اتصف الخوارج بعدة صفات منها على سبيل الذكر لا الحصر :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 w:hanging="360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1-</w:t>
      </w:r>
      <w:r w:rsidRPr="00A35C13">
        <w:rPr>
          <w:rFonts w:ascii="Times New Roman" w:eastAsia="Times New Roman" w:hAnsi="Times New Roman" w:cs="Times New Roman"/>
          <w:b/>
          <w:bCs/>
          <w:color w:val="525252"/>
          <w:sz w:val="14"/>
          <w:szCs w:val="14"/>
          <w:rtl/>
        </w:rPr>
        <w:t>   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الغلو في الدين: مما لا شك فيه أن الخوارج كانوا أهل صيام وصلاة وتلاوة للقرآن ، لكنهم تجاوزوا حد الاعتدال إلى درجة الغلو والتشدد ، فخالفوا قواعد الإسلام ، فذهبوا إلى تكفير مرتكب الكبيرة ، ومنهم من بالغ في ذلك حتى على كل من ارتكب ذنبا ولو كان صغيرا فإنه كافر مشرك مخلد في النار ، إلى أن وصل بهم هذا الغلو والتشدد أنهم كفروا كل من لم ير رأيهم من المسلمين ورموه بالكفر أو النفاق ، حتى إنهم استباحوا دماء كل من خالفهم . وهذا الغلو منهي عنه ؛ لأنه يؤدي إلى 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lastRenderedPageBreak/>
        <w:t>ظُلم العبد نَفسَه وغَيره ، وتضييع ما أوجبه الله عليه ، وقد يكون ما ضيَّعه أوجب مما غلا فيه، وقد جاء النهي عن الغلو صراحة في كتاب الله وسنة رسول الله – صلى الله عليه وسلم - ، قال تعالى : " قل يا أهل الكتاب لا تغلوا في دينكم غير الحق ولا تتبعوا أهواء قوم قد ضلوا من قبل وأضلوا كثيرا وضلوا عن سواء السبيل " المائدة : 77 ، وقال تعالى : " يا أهل الكتاب لا تغلوا في دينكم ولا تقولوا على الله إلا الحق " النساء : 171 ، وثبت عن النبي – صلى الله عليه وسلم – أنه قال : " إياكم والغلو في الدين " أخرجه النسائي ( 3057) ، وقال أيضا: " هلك المتنطعون ، هلك المتنطعون " أخرجه مسلم في صحيحه ( 2670)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 w:hanging="360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2-</w:t>
      </w:r>
      <w:r w:rsidRPr="00A35C13">
        <w:rPr>
          <w:rFonts w:ascii="Times New Roman" w:eastAsia="Times New Roman" w:hAnsi="Times New Roman" w:cs="Times New Roman"/>
          <w:b/>
          <w:bCs/>
          <w:color w:val="525252"/>
          <w:sz w:val="14"/>
          <w:szCs w:val="14"/>
          <w:rtl/>
        </w:rPr>
        <w:t>   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 الجهل بالدين :  فمن صفات الخوارج الجهل بكتاب الله – عز وجل ، وسنة رسول الله – صلى الله عليه وسلم - ، وسوء فهمهم ، وعدم إنزال النصوص منازلها الصحيحة ، فمن جهلهم بدين الله – عز وجل – أنهم رأوا أن التحكيم معصية تستوجب الكفر ، فيلزم من وقع فيه أن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يعترف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على نفسه بالكفر ثم يستقبل التوبة ، وهذا ما طالبوا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به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عليا – رضي الله عنه -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قال عنهم ابن حجر – رحمه الله - : إن الخوارج لما حكموا بكفر من خالفهم استباحوا دماءهم وتركوا أهل الذمة فقالوا : نفي لهم بعهدهم وتركوا قتال المشركين ، واشتغلوا بقتال المسلمين ، وهذا كله من آثار عبادة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الجهال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، الذين لم تنشرح صدورهم بنور العلم ، ولم يتمسكوا بحبل وثيق منه ، وكفى أن رأسهم رد على رسول الله – صلى الله عليه وسلم – أمره ونسبه إلى الجور ، نسأل الله السلامة ( فتح الباري 12/301 )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وقال عنهم ابن تيمية – رحمه الله - : هم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جهال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فارقوا السنة والجماعة عن جهل . ( منهاج السنة 3/464)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 w:hanging="360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3-</w:t>
      </w:r>
      <w:r w:rsidRPr="00A35C13">
        <w:rPr>
          <w:rFonts w:ascii="Times New Roman" w:eastAsia="Times New Roman" w:hAnsi="Times New Roman" w:cs="Times New Roman"/>
          <w:b/>
          <w:bCs/>
          <w:color w:val="525252"/>
          <w:sz w:val="14"/>
          <w:szCs w:val="14"/>
          <w:rtl/>
        </w:rPr>
        <w:t>   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شق عصا الطاعة : لا شك أن الخوارج شقوا عصا الطاعة وسعوا في تفريق كلمة المسلمين ، ويوضح ذلك موقفهم مع أمير المؤمنين علي – رضي الله عنه - ، حيث تخلوا عنه وخالفوه في أحرج المواقف وعصوا أمره ، وظلت تلك الصفة ملازمة لهم على مدار التاريخ ، كل من خالفهم 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lastRenderedPageBreak/>
        <w:t>في أمر عادوه ونبذوه حتى إنهم تفرقوا هم أنفسهم إلى عدة فرق يكفر بعضها بعضا ، ولذلك كثر فيهم الغارات والشقاق والثورات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 w:hanging="360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4-</w:t>
      </w:r>
      <w:r w:rsidRPr="00A35C13">
        <w:rPr>
          <w:rFonts w:ascii="Times New Roman" w:eastAsia="Times New Roman" w:hAnsi="Times New Roman" w:cs="Times New Roman"/>
          <w:b/>
          <w:bCs/>
          <w:color w:val="525252"/>
          <w:sz w:val="14"/>
          <w:szCs w:val="14"/>
          <w:rtl/>
        </w:rPr>
        <w:t>   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 التكفير بالذنوب واستحلال دماء المسلمين وأموالهم:  قال شيخ الإسلام – ابن تيمية – رحمه الله - : والفرق الثاني في الخوارج وأهل البدع ، أنهم يكفرون بالذنوب والسيئات ، ويترتب على تكفيرهم بالذنوب استحلال دماء المسلمين وأموالهم . ( مجموع الفتاوى 19/73)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فمن ذلك أنهم قتلوا عبد الله بن خباب بغير سبب غير أنه لم يوافقهم على رأيهم ، وقال ابن كثير – رحمه الله - : فجعلوا يقتلون النساء والولدان ، ويبقرون بطون الحبالى ، ويفعلون أفعالا لم يفعلها غيرهم . ( البداية والنهاية 3/294)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ind w:left="1001" w:hanging="360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5-</w:t>
      </w:r>
      <w:r w:rsidRPr="00A35C13">
        <w:rPr>
          <w:rFonts w:ascii="Times New Roman" w:eastAsia="Times New Roman" w:hAnsi="Times New Roman" w:cs="Times New Roman"/>
          <w:b/>
          <w:bCs/>
          <w:color w:val="525252"/>
          <w:sz w:val="14"/>
          <w:szCs w:val="14"/>
          <w:rtl/>
        </w:rPr>
        <w:t>   </w:t>
      </w: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الشدة على المسلمين : غرف الخوارج بالغلظة والجفوة ، وقد كانوا شديدي القسوة والعنف على المسلمين ، وقد بلغت شدتهم حدا فظيعا ، فاستحلوا دماء المسلمين وأموالهم وأعراضهم ، أما أعداء الإسلام من أهل الأوثان وغيرهم فقد تركوهم </w:t>
      </w:r>
      <w:proofErr w:type="spellStart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ووادعوهم</w:t>
      </w:r>
      <w:proofErr w:type="spellEnd"/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 xml:space="preserve"> فلم يؤذوهم ، ولقد سجل التاريخ صحائف سوداء للخوارج في هذا السبيل ، وما قصة عبد الله بن خباب ومقتله عنا ببعيد ، فمعاملة الخوارج للمسلمين مصحوبة بالقسوة والشدة والعنف ، وأما الكافرين ، فلين وموادعة ولطف 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أقف عند هذا الحدّ مخافة السآمة والملل من جانب القارئ الكريم ، وأكمل في مقال قادم بمشيئة الله تعالى إن قدر الله لنا البقاء.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  <w:rtl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                                     د. عصام بن عبد ربه محمد مشاحيت</w:t>
      </w:r>
    </w:p>
    <w:p w:rsidR="00A35C13" w:rsidRPr="00A35C13" w:rsidRDefault="00A35C13" w:rsidP="00A35C13">
      <w:pPr>
        <w:shd w:val="clear" w:color="auto" w:fill="FFFFFF"/>
        <w:spacing w:after="0" w:line="467" w:lineRule="atLeast"/>
        <w:jc w:val="both"/>
        <w:rPr>
          <w:rFonts w:ascii="Arial" w:eastAsia="Times New Roman" w:hAnsi="Arial" w:cs="Arial"/>
          <w:b/>
          <w:bCs/>
          <w:color w:val="525252"/>
          <w:sz w:val="31"/>
          <w:szCs w:val="31"/>
        </w:rPr>
      </w:pPr>
      <w:r w:rsidRPr="00A35C13">
        <w:rPr>
          <w:rFonts w:ascii="Arial" w:eastAsia="Times New Roman" w:hAnsi="Arial" w:cs="Arial"/>
          <w:b/>
          <w:bCs/>
          <w:color w:val="525252"/>
          <w:sz w:val="32"/>
          <w:szCs w:val="32"/>
          <w:rtl/>
        </w:rPr>
        <w:t>                               دكتوراه في الدعوة والثقافة الإسلامية </w:t>
      </w:r>
    </w:p>
    <w:p w:rsidR="00A35C13" w:rsidRPr="00A35C13" w:rsidRDefault="00A35C13">
      <w:pPr>
        <w:rPr>
          <w:rFonts w:hint="cs"/>
          <w:sz w:val="32"/>
          <w:szCs w:val="32"/>
        </w:rPr>
      </w:pPr>
    </w:p>
    <w:sectPr w:rsidR="00A35C13" w:rsidRPr="00A35C13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20"/>
  <w:characterSpacingControl w:val="doNotCompress"/>
  <w:compat/>
  <w:rsids>
    <w:rsidRoot w:val="00A35C13"/>
    <w:rsid w:val="000E40E0"/>
    <w:rsid w:val="008E2A0C"/>
    <w:rsid w:val="00A35C13"/>
    <w:rsid w:val="00C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C13"/>
    <w:rPr>
      <w:b/>
      <w:bCs/>
    </w:rPr>
  </w:style>
  <w:style w:type="paragraph" w:styleId="a4">
    <w:name w:val="List Paragraph"/>
    <w:basedOn w:val="a"/>
    <w:uiPriority w:val="34"/>
    <w:qFormat/>
    <w:rsid w:val="00A35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35C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1</cp:revision>
  <dcterms:created xsi:type="dcterms:W3CDTF">2018-09-17T05:36:00Z</dcterms:created>
  <dcterms:modified xsi:type="dcterms:W3CDTF">2018-09-17T05:38:00Z</dcterms:modified>
</cp:coreProperties>
</file>